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C5" w:rsidRPr="00CB50DA" w:rsidRDefault="00310F32">
      <w:pPr>
        <w:rPr>
          <w:sz w:val="28"/>
          <w:szCs w:val="28"/>
        </w:rPr>
      </w:pPr>
      <w:r w:rsidRPr="00CB50DA">
        <w:rPr>
          <w:rFonts w:hint="eastAsia"/>
          <w:sz w:val="28"/>
          <w:szCs w:val="28"/>
        </w:rPr>
        <w:t>【別表】</w:t>
      </w:r>
    </w:p>
    <w:p w:rsidR="00310F32" w:rsidRDefault="00310F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2977"/>
        <w:gridCol w:w="850"/>
        <w:gridCol w:w="2977"/>
      </w:tblGrid>
      <w:tr w:rsidR="00310F32" w:rsidTr="005374DD">
        <w:tc>
          <w:tcPr>
            <w:tcW w:w="2235" w:type="dxa"/>
            <w:vMerge w:val="restart"/>
            <w:tcBorders>
              <w:tl2br w:val="single" w:sz="4" w:space="0" w:color="auto"/>
            </w:tcBorders>
          </w:tcPr>
          <w:p w:rsidR="00310F32" w:rsidRDefault="00310F32">
            <w:r>
              <w:rPr>
                <w:rFonts w:hint="eastAsia"/>
              </w:rPr>
              <w:t xml:space="preserve">　</w:t>
            </w:r>
            <w:r w:rsidR="005374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評価項目</w:t>
            </w:r>
          </w:p>
          <w:p w:rsidR="005374DD" w:rsidRDefault="005374DD"/>
          <w:p w:rsidR="005374DD" w:rsidRDefault="005374DD"/>
          <w:p w:rsidR="00310F32" w:rsidRDefault="00310F32">
            <w:r>
              <w:rPr>
                <w:rFonts w:hint="eastAsia"/>
              </w:rPr>
              <w:t>対象事業所</w:t>
            </w:r>
          </w:p>
        </w:tc>
        <w:tc>
          <w:tcPr>
            <w:tcW w:w="3827" w:type="dxa"/>
            <w:gridSpan w:val="2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①</w:t>
            </w:r>
          </w:p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サービス項目《６－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》</w:t>
            </w:r>
          </w:p>
        </w:tc>
        <w:tc>
          <w:tcPr>
            <w:tcW w:w="3827" w:type="dxa"/>
            <w:gridSpan w:val="2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②</w:t>
            </w:r>
          </w:p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利用者保護に関する項目</w:t>
            </w:r>
          </w:p>
        </w:tc>
      </w:tr>
      <w:tr w:rsidR="00310F32" w:rsidTr="005374DD">
        <w:tc>
          <w:tcPr>
            <w:tcW w:w="2235" w:type="dxa"/>
            <w:vMerge/>
            <w:tcBorders>
              <w:tl2br w:val="single" w:sz="4" w:space="0" w:color="auto"/>
            </w:tcBorders>
          </w:tcPr>
          <w:p w:rsidR="00310F32" w:rsidRDefault="00310F32"/>
        </w:tc>
        <w:tc>
          <w:tcPr>
            <w:tcW w:w="850" w:type="dxa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評価</w:t>
            </w:r>
          </w:p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項目数</w:t>
            </w:r>
          </w:p>
        </w:tc>
        <w:tc>
          <w:tcPr>
            <w:tcW w:w="2977" w:type="dxa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850" w:type="dxa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評価</w:t>
            </w:r>
          </w:p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項目数</w:t>
            </w:r>
          </w:p>
        </w:tc>
        <w:tc>
          <w:tcPr>
            <w:tcW w:w="2977" w:type="dxa"/>
          </w:tcPr>
          <w:p w:rsidR="00310F32" w:rsidRDefault="00310F32" w:rsidP="00310F32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310F32" w:rsidTr="005374DD">
        <w:tc>
          <w:tcPr>
            <w:tcW w:w="2235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訪問介護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77" w:type="dxa"/>
          </w:tcPr>
          <w:p w:rsidR="00310F32" w:rsidRDefault="00310F32">
            <w:r>
              <w:rPr>
                <w:rFonts w:hint="eastAsia"/>
              </w:rPr>
              <w:t>全ての評価項目で「標準項目をすべて満たしている状態」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310F32" w:rsidRDefault="00310F32">
            <w:r>
              <w:rPr>
                <w:rFonts w:hint="eastAsia"/>
              </w:rPr>
              <w:t>全ての評価項目で「標準項目をすべて満たしている状態」</w:t>
            </w:r>
          </w:p>
        </w:tc>
      </w:tr>
      <w:tr w:rsidR="00310F32" w:rsidTr="005374DD">
        <w:tc>
          <w:tcPr>
            <w:tcW w:w="2235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通所介護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22</w:t>
            </w:r>
          </w:p>
          <w:p w:rsidR="00310F32" w:rsidRDefault="00CB50DA" w:rsidP="00CB50DA">
            <w:pPr>
              <w:jc w:val="center"/>
            </w:pPr>
            <w:r>
              <w:rPr>
                <w:rFonts w:hint="eastAsia"/>
              </w:rPr>
              <w:t>(</w:t>
            </w:r>
            <w:r w:rsidR="00310F32">
              <w:rPr>
                <w:rFonts w:hint="eastAsia"/>
              </w:rPr>
              <w:t>注</w:t>
            </w:r>
            <w:r w:rsidR="00310F32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</w:tr>
      <w:tr w:rsidR="00310F32" w:rsidTr="005374DD">
        <w:tc>
          <w:tcPr>
            <w:tcW w:w="2235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地域密着型通所介護</w:t>
            </w:r>
          </w:p>
        </w:tc>
        <w:tc>
          <w:tcPr>
            <w:tcW w:w="850" w:type="dxa"/>
          </w:tcPr>
          <w:p w:rsidR="00310F32" w:rsidRDefault="00B44BF0" w:rsidP="00CB50DA">
            <w:pPr>
              <w:jc w:val="center"/>
            </w:pPr>
            <w:r>
              <w:rPr>
                <w:rFonts w:hint="eastAsia"/>
              </w:rPr>
              <w:t>18</w:t>
            </w:r>
          </w:p>
          <w:p w:rsidR="00310F32" w:rsidRDefault="00CB50DA" w:rsidP="00CB50DA">
            <w:pPr>
              <w:jc w:val="center"/>
            </w:pPr>
            <w:r>
              <w:rPr>
                <w:rFonts w:hint="eastAsia"/>
              </w:rPr>
              <w:t>(</w:t>
            </w:r>
            <w:r w:rsidR="00310F32">
              <w:rPr>
                <w:rFonts w:hint="eastAsia"/>
              </w:rPr>
              <w:t>注</w:t>
            </w:r>
            <w:r w:rsidR="00310F32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</w:tr>
      <w:tr w:rsidR="00310F32" w:rsidTr="005374DD">
        <w:tc>
          <w:tcPr>
            <w:tcW w:w="2235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福祉用具貸与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  <w:tc>
          <w:tcPr>
            <w:tcW w:w="850" w:type="dxa"/>
          </w:tcPr>
          <w:p w:rsidR="00310F32" w:rsidRDefault="00310F32" w:rsidP="00CB50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310F32" w:rsidRDefault="00310F32" w:rsidP="00E47619">
            <w:r>
              <w:rPr>
                <w:rFonts w:hint="eastAsia"/>
              </w:rPr>
              <w:t>全ての評価項目で「標準項目をすべて満たしている状態」</w:t>
            </w:r>
          </w:p>
        </w:tc>
      </w:tr>
    </w:tbl>
    <w:p w:rsidR="00310F32" w:rsidRDefault="00310F32"/>
    <w:p w:rsidR="005374DD" w:rsidRDefault="005374DD">
      <w:r>
        <w:rPr>
          <w:rFonts w:hint="eastAsia"/>
        </w:rPr>
        <w:t>（注</w:t>
      </w:r>
      <w:r>
        <w:rPr>
          <w:rFonts w:hint="eastAsia"/>
        </w:rPr>
        <w:t>1</w:t>
      </w:r>
      <w:r>
        <w:rPr>
          <w:rFonts w:hint="eastAsia"/>
        </w:rPr>
        <w:t>）入浴介助体制がない事業者</w:t>
      </w:r>
      <w:r w:rsidR="00B44BF0">
        <w:rPr>
          <w:rFonts w:hint="eastAsia"/>
        </w:rPr>
        <w:t>及び食事の提供を行っていない事業者</w:t>
      </w:r>
      <w:r>
        <w:rPr>
          <w:rFonts w:hint="eastAsia"/>
        </w:rPr>
        <w:t>については、</w:t>
      </w:r>
      <w:r w:rsidR="00B44BF0">
        <w:rPr>
          <w:rFonts w:hint="eastAsia"/>
        </w:rPr>
        <w:t>これらを除いた項目</w:t>
      </w:r>
      <w:bookmarkStart w:id="0" w:name="_GoBack"/>
      <w:bookmarkEnd w:id="0"/>
      <w:r>
        <w:rPr>
          <w:rFonts w:hint="eastAsia"/>
        </w:rPr>
        <w:t>とする。</w:t>
      </w:r>
    </w:p>
    <w:sectPr w:rsidR="005374DD" w:rsidSect="005374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32"/>
    <w:rsid w:val="00310F32"/>
    <w:rsid w:val="005374DD"/>
    <w:rsid w:val="00B44BF0"/>
    <w:rsid w:val="00CB50DA"/>
    <w:rsid w:val="00D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74EFA"/>
  <w15:docId w15:val="{49E321C5-FCB9-42BE-8AD1-8A23647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ﾊﾀｹﾔﾏ ｼﾉ</cp:lastModifiedBy>
  <cp:revision>2</cp:revision>
  <dcterms:created xsi:type="dcterms:W3CDTF">2024-08-07T05:47:00Z</dcterms:created>
  <dcterms:modified xsi:type="dcterms:W3CDTF">2024-08-07T05:47:00Z</dcterms:modified>
</cp:coreProperties>
</file>